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3A" w:rsidRDefault="00652CD0" w:rsidP="00652CD0">
      <w:pPr>
        <w:pStyle w:val="1"/>
        <w:shd w:val="clear" w:color="auto" w:fill="auto"/>
        <w:spacing w:before="160" w:after="3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F5405E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7219DF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проведения</w:t>
      </w:r>
      <w:r w:rsidR="007219DF">
        <w:rPr>
          <w:sz w:val="28"/>
          <w:szCs w:val="28"/>
        </w:rPr>
        <w:t xml:space="preserve"> оценки э</w:t>
      </w:r>
      <w:bookmarkStart w:id="0" w:name="_GoBack"/>
      <w:r w:rsidR="007219DF">
        <w:rPr>
          <w:sz w:val="28"/>
          <w:szCs w:val="28"/>
        </w:rPr>
        <w:t>ффективно</w:t>
      </w:r>
      <w:bookmarkEnd w:id="0"/>
      <w:r w:rsidR="007219DF">
        <w:rPr>
          <w:sz w:val="28"/>
          <w:szCs w:val="28"/>
        </w:rPr>
        <w:t>сти</w:t>
      </w:r>
      <w:r w:rsidR="00A85F27">
        <w:rPr>
          <w:sz w:val="28"/>
          <w:szCs w:val="28"/>
        </w:rPr>
        <w:t xml:space="preserve"> налоговых льгот</w:t>
      </w:r>
    </w:p>
    <w:p w:rsidR="00752A3A" w:rsidRDefault="007219DF" w:rsidP="00652CD0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п. Михайловский Саратовской области</w:t>
      </w:r>
    </w:p>
    <w:p w:rsidR="00752A3A" w:rsidRDefault="00A85F27" w:rsidP="00652CD0">
      <w:pPr>
        <w:pStyle w:val="1"/>
        <w:shd w:val="clear" w:color="auto" w:fill="auto"/>
        <w:spacing w:after="9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 января 2020 года</w:t>
      </w:r>
    </w:p>
    <w:p w:rsidR="00752A3A" w:rsidRDefault="00AA4CE3" w:rsidP="0052046F">
      <w:pPr>
        <w:pStyle w:val="1"/>
        <w:shd w:val="clear" w:color="auto" w:fill="auto"/>
        <w:spacing w:after="100" w:afterAutospacing="1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86C9C">
        <w:rPr>
          <w:sz w:val="28"/>
          <w:szCs w:val="28"/>
        </w:rPr>
        <w:t>09</w:t>
      </w:r>
      <w:r w:rsidR="00BC0691">
        <w:rPr>
          <w:sz w:val="28"/>
          <w:szCs w:val="28"/>
        </w:rPr>
        <w:t>»</w:t>
      </w:r>
      <w:r w:rsidR="00A86C9C">
        <w:rPr>
          <w:sz w:val="28"/>
          <w:szCs w:val="28"/>
        </w:rPr>
        <w:t xml:space="preserve"> января</w:t>
      </w:r>
      <w:r w:rsidR="00BC0691">
        <w:rPr>
          <w:sz w:val="28"/>
          <w:szCs w:val="28"/>
        </w:rPr>
        <w:t xml:space="preserve"> </w:t>
      </w:r>
      <w:r w:rsidR="00A85F27">
        <w:rPr>
          <w:sz w:val="28"/>
          <w:szCs w:val="28"/>
        </w:rPr>
        <w:t xml:space="preserve"> 2020 года</w:t>
      </w:r>
    </w:p>
    <w:p w:rsidR="00752A3A" w:rsidRDefault="00652CD0" w:rsidP="007219DF">
      <w:pPr>
        <w:pStyle w:val="1"/>
        <w:shd w:val="clear" w:color="auto" w:fill="auto"/>
        <w:spacing w:line="240" w:lineRule="auto"/>
      </w:pPr>
      <w:r>
        <w:t>В целях повышения</w:t>
      </w:r>
      <w:r w:rsidR="00A85F27">
        <w:t xml:space="preserve"> эффективности</w:t>
      </w:r>
      <w:r>
        <w:t xml:space="preserve"> предоставления</w:t>
      </w:r>
      <w:r w:rsidR="00A85F27">
        <w:t xml:space="preserve"> налоговых </w:t>
      </w:r>
      <w:r>
        <w:t>льгот</w:t>
      </w:r>
      <w:r w:rsidR="00A85F27">
        <w:t xml:space="preserve"> </w:t>
      </w:r>
      <w:r w:rsidR="007219DF" w:rsidRPr="007219DF">
        <w:t>муниципального образования п. Михайловский Саратовской области</w:t>
      </w:r>
      <w:r w:rsidR="00A85F27">
        <w:t xml:space="preserve"> за 2019 год проведена </w:t>
      </w:r>
      <w:r w:rsidR="004F715F">
        <w:t xml:space="preserve">оценка </w:t>
      </w:r>
      <w:r w:rsidR="00A85F27">
        <w:t xml:space="preserve">во исполнение постановления администрации </w:t>
      </w:r>
      <w:r w:rsidR="007219DF">
        <w:t>муниципального образования п. Михайловский Саратовской области от 15 августа</w:t>
      </w:r>
      <w:r w:rsidR="00A85F27">
        <w:t xml:space="preserve"> 20</w:t>
      </w:r>
      <w:r w:rsidR="007219DF">
        <w:t>19 года № 93</w:t>
      </w:r>
      <w:r w:rsidR="00A85F27">
        <w:t xml:space="preserve"> «Об утверждении Порядка формирования перечня налоговых расходов </w:t>
      </w:r>
      <w:r w:rsidR="000B21D6">
        <w:t>и Порядка проведения оценки налоговых расходов муниципального образования поселок Михайловский Саратовской области</w:t>
      </w:r>
      <w:r w:rsidR="00A85F27">
        <w:t>»</w:t>
      </w:r>
    </w:p>
    <w:p w:rsidR="006E205C" w:rsidRDefault="000E77CC" w:rsidP="00F46DA7">
      <w:pPr>
        <w:pStyle w:val="1"/>
        <w:shd w:val="clear" w:color="auto" w:fill="auto"/>
        <w:spacing w:after="120"/>
      </w:pPr>
      <w:r>
        <w:t>Согласно данному Порядку, по результатам проведения оценки экономической</w:t>
      </w:r>
      <w:r w:rsidR="0052046F">
        <w:t>, бюджетной</w:t>
      </w:r>
      <w:r>
        <w:t xml:space="preserve"> и социальной эффективности предоставленных за 2019 год налоговых льгот определяется степень их финансовой эффективности. В случае признания налоговой льготы эффективной она пролонгируется. В случае признания налоговой льготы неэффективной ее пролонгация не допускается.</w:t>
      </w:r>
    </w:p>
    <w:p w:rsidR="000E77CC" w:rsidRDefault="000E77CC" w:rsidP="00F46DA7">
      <w:pPr>
        <w:pStyle w:val="1"/>
        <w:shd w:val="clear" w:color="auto" w:fill="auto"/>
        <w:spacing w:after="240" w:line="120" w:lineRule="atLeast"/>
      </w:pPr>
      <w:r>
        <w:t>Действие льгот по местным налогам</w:t>
      </w:r>
      <w:r w:rsidR="00ED348E">
        <w:t xml:space="preserve"> по состоянию на 01.01.2020 г.:</w:t>
      </w:r>
    </w:p>
    <w:p w:rsidR="00ED348E" w:rsidRDefault="00ED348E" w:rsidP="00E15A15">
      <w:pPr>
        <w:pStyle w:val="1"/>
        <w:numPr>
          <w:ilvl w:val="0"/>
          <w:numId w:val="1"/>
        </w:numPr>
        <w:shd w:val="clear" w:color="auto" w:fill="auto"/>
        <w:spacing w:after="100" w:afterAutospacing="1" w:line="120" w:lineRule="atLeast"/>
      </w:pPr>
      <w:r>
        <w:t xml:space="preserve">по земельному налогу: </w:t>
      </w:r>
    </w:p>
    <w:p w:rsidR="00ED348E" w:rsidRDefault="00ED348E" w:rsidP="00E15A15">
      <w:pPr>
        <w:pStyle w:val="1"/>
        <w:shd w:val="clear" w:color="auto" w:fill="auto"/>
        <w:spacing w:after="100" w:afterAutospacing="1" w:line="240" w:lineRule="auto"/>
        <w:ind w:left="720"/>
      </w:pPr>
      <w:r>
        <w:t>решением Собрания депутатов ЗАТО Михайл</w:t>
      </w:r>
      <w:r w:rsidR="007221C5">
        <w:t>овский Саратовской области от 09 ноября 2017 года №98 О внесении изменения в решение Собрания депутатов № 195 от 13 ноября 2014 года</w:t>
      </w:r>
      <w:r>
        <w:t xml:space="preserve"> «Об установлении земельного налога»</w:t>
      </w:r>
      <w:r w:rsidR="0092509B">
        <w:t xml:space="preserve"> </w:t>
      </w:r>
      <w:r w:rsidR="008534B0">
        <w:t>внесены изменения об отмене</w:t>
      </w:r>
      <w:r w:rsidR="0092509B">
        <w:t xml:space="preserve"> налоговых льгот по земельному налогу;</w:t>
      </w:r>
    </w:p>
    <w:p w:rsidR="00ED348E" w:rsidRDefault="00ED348E" w:rsidP="00E15A15">
      <w:pPr>
        <w:pStyle w:val="1"/>
        <w:numPr>
          <w:ilvl w:val="0"/>
          <w:numId w:val="1"/>
        </w:numPr>
        <w:shd w:val="clear" w:color="auto" w:fill="auto"/>
        <w:spacing w:after="100" w:afterAutospacing="1" w:line="240" w:lineRule="auto"/>
      </w:pPr>
      <w:r>
        <w:t>по налогу на имущество физических лиц:</w:t>
      </w:r>
    </w:p>
    <w:p w:rsidR="0092509B" w:rsidRDefault="0092509B" w:rsidP="00E15A15">
      <w:pPr>
        <w:pStyle w:val="1"/>
        <w:shd w:val="clear" w:color="auto" w:fill="auto"/>
        <w:spacing w:after="100" w:afterAutospacing="1" w:line="240" w:lineRule="auto"/>
        <w:ind w:left="720"/>
      </w:pPr>
      <w:r>
        <w:t>решением Собрания депутатов ЗАТО Михайловский</w:t>
      </w:r>
      <w:r w:rsidR="008534B0">
        <w:t xml:space="preserve"> от 03 ноября 2019 года № 231</w:t>
      </w:r>
      <w:r w:rsidR="005A77EC">
        <w:t xml:space="preserve"> «О </w:t>
      </w:r>
      <w:r w:rsidR="00825E9E">
        <w:t xml:space="preserve">внесении </w:t>
      </w:r>
      <w:r w:rsidR="008534B0">
        <w:t>изменения в решение Собрания депутатов МО п.Михайловский №216 от 27.06.2019</w:t>
      </w:r>
      <w:r w:rsidR="00825E9E">
        <w:t xml:space="preserve"> г.</w:t>
      </w:r>
      <w:r w:rsidR="008534B0">
        <w:t xml:space="preserve"> «О внесении дополнения в решение Собрания депутатов ЗАТО Михайловский №100 от 09.11.2017</w:t>
      </w:r>
      <w:r w:rsidR="00825E9E">
        <w:t xml:space="preserve"> г.</w:t>
      </w:r>
      <w:r w:rsidR="008534B0">
        <w:t xml:space="preserve"> «О </w:t>
      </w:r>
      <w:r w:rsidR="005A77EC">
        <w:t>нало</w:t>
      </w:r>
      <w:r w:rsidR="00CA459E">
        <w:t>ге на имущество физических лиц»</w:t>
      </w:r>
      <w:r w:rsidR="005A77EC">
        <w:t xml:space="preserve"> не предусмотрено предоставление льготы по уплате налога на имущество физических лиц.</w:t>
      </w:r>
    </w:p>
    <w:p w:rsidR="00F46DA7" w:rsidRDefault="008534B0" w:rsidP="00CA459E">
      <w:pPr>
        <w:pStyle w:val="1"/>
        <w:shd w:val="clear" w:color="auto" w:fill="auto"/>
        <w:spacing w:after="100" w:afterAutospacing="1" w:line="240" w:lineRule="auto"/>
        <w:ind w:left="720"/>
      </w:pPr>
      <w:r>
        <w:t>Расчет бюджетной</w:t>
      </w:r>
      <w:r w:rsidR="00F07E0B">
        <w:t>,</w:t>
      </w:r>
      <w:r>
        <w:t xml:space="preserve"> экономической</w:t>
      </w:r>
      <w:r w:rsidR="00F07E0B">
        <w:t xml:space="preserve"> и социальной </w:t>
      </w:r>
      <w:r>
        <w:t>эффективности налоговых льгот по местным налогам не производится, в связи с тем, что льготы по земельному налогу и налогу на имущество не предоставляются.</w:t>
      </w:r>
    </w:p>
    <w:p w:rsidR="00F46DA7" w:rsidRDefault="00F46DA7" w:rsidP="00F46DA7">
      <w:pPr>
        <w:pStyle w:val="1"/>
        <w:shd w:val="clear" w:color="auto" w:fill="auto"/>
        <w:spacing w:before="100" w:beforeAutospacing="1" w:after="100" w:afterAutospacing="1" w:line="120" w:lineRule="auto"/>
        <w:ind w:left="680"/>
      </w:pPr>
    </w:p>
    <w:p w:rsidR="0052046F" w:rsidRDefault="005A77EC" w:rsidP="00F46DA7">
      <w:pPr>
        <w:pStyle w:val="1"/>
        <w:shd w:val="clear" w:color="auto" w:fill="auto"/>
        <w:spacing w:before="100" w:beforeAutospacing="1" w:after="100" w:afterAutospacing="1" w:line="120" w:lineRule="auto"/>
        <w:ind w:left="680"/>
      </w:pPr>
      <w:r>
        <w:t xml:space="preserve">Финансовое управление администрации </w:t>
      </w:r>
    </w:p>
    <w:p w:rsidR="0052046F" w:rsidRDefault="005A77EC" w:rsidP="00F46DA7">
      <w:pPr>
        <w:pStyle w:val="1"/>
        <w:shd w:val="clear" w:color="auto" w:fill="auto"/>
        <w:spacing w:before="100" w:beforeAutospacing="1" w:after="100" w:afterAutospacing="1" w:line="120" w:lineRule="auto"/>
        <w:ind w:left="680"/>
      </w:pPr>
      <w:r>
        <w:t>муниципального об</w:t>
      </w:r>
      <w:r w:rsidR="0052046F">
        <w:t>разования п. М</w:t>
      </w:r>
      <w:r>
        <w:t xml:space="preserve">ихайловский </w:t>
      </w:r>
    </w:p>
    <w:p w:rsidR="005A77EC" w:rsidRDefault="005A77EC" w:rsidP="00F46DA7">
      <w:pPr>
        <w:pStyle w:val="1"/>
        <w:shd w:val="clear" w:color="auto" w:fill="auto"/>
        <w:spacing w:before="100" w:beforeAutospacing="1" w:after="100" w:afterAutospacing="1" w:line="120" w:lineRule="auto"/>
        <w:ind w:left="680"/>
      </w:pPr>
      <w:r>
        <w:t>Саратовской области</w:t>
      </w:r>
    </w:p>
    <w:sectPr w:rsidR="005A77E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471" w:right="389" w:bottom="1653" w:left="5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44" w:rsidRDefault="00A85F27">
      <w:r>
        <w:separator/>
      </w:r>
    </w:p>
  </w:endnote>
  <w:endnote w:type="continuationSeparator" w:id="0">
    <w:p w:rsidR="00E43244" w:rsidRDefault="00A8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3A" w:rsidRDefault="00A85F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262890</wp:posOffset>
              </wp:positionH>
              <wp:positionV relativeFrom="page">
                <wp:posOffset>9814560</wp:posOffset>
              </wp:positionV>
              <wp:extent cx="7083425" cy="1098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A3A" w:rsidRDefault="00A85F27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hltps.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iZatosveUy.rui'crtyjecorz&gt;fn&gt;cs_aTXi_linance.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rialogo'«yti-k^jly-po-mcslnyrn-«ia&gt;J9ami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ctsenka-&lt;jf{eklr\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ccst-nalo90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vertAlign w:val="superscript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&lt;ykh-lgo&lt;.p?ip?s5«irase_id-&amp;57360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ru-RU" w:eastAsia="ru-RU" w:bidi="ru-RU"/>
                            </w:rPr>
                            <w:t>2-3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20.7pt;margin-top:772.8pt;width:557.75pt;height:8.6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" filled="f" stroked="f">
              <v:textbox style="mso-fit-shape-to-text:t" inset="0,0,0,0">
                <w:txbxContent>
                  <w:p w:rsidR="00752A3A" w:rsidRDefault="00A85F27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hltps.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iZatosveUy.rui'crtyjecorz&gt;fn&gt;cs_aTXi_linance.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rialogo'«yti-k^jly-po-mcslnyrn-«ia&gt;J9ami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ctsenka-&lt;jf{eklr\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ccst-nalo90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vertAlign w:val="superscript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&lt;ykh-lgo&lt;.p?ip?s5«irase_id-&amp;57360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ru-RU" w:eastAsia="ru-RU" w:bidi="ru-RU"/>
                      </w:rPr>
                      <w:t>2-3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3A" w:rsidRDefault="00752A3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3A" w:rsidRDefault="00752A3A"/>
  </w:footnote>
  <w:footnote w:type="continuationSeparator" w:id="0">
    <w:p w:rsidR="00752A3A" w:rsidRDefault="00752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3A" w:rsidRDefault="00A85F2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311785</wp:posOffset>
              </wp:positionH>
              <wp:positionV relativeFrom="page">
                <wp:posOffset>109855</wp:posOffset>
              </wp:positionV>
              <wp:extent cx="493141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14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2A3A" w:rsidRDefault="00A85F27">
                          <w:pPr>
                            <w:pStyle w:val="20"/>
                            <w:shd w:val="clear" w:color="auto" w:fill="auto"/>
                            <w:tabs>
                              <w:tab w:val="right" w:pos="776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ru-RU" w:eastAsia="ru-RU" w:bidi="ru-RU"/>
                            </w:rPr>
                            <w:t>30.03 2021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ru-RU" w:eastAsia="ru-RU" w:bidi="ru-RU"/>
                            </w:rPr>
                            <w:tab/>
                            <w:t>Оценка эффективности налоговых льгот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4.55pt;margin-top:8.65pt;width:388.3pt;height:7.7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" filled="f" stroked="f">
              <v:textbox style="mso-fit-shape-to-text:t" inset="0,0,0,0">
                <w:txbxContent>
                  <w:p w:rsidR="00752A3A" w:rsidRDefault="00A85F27">
                    <w:pPr>
                      <w:pStyle w:val="20"/>
                      <w:shd w:val="clear" w:color="auto" w:fill="auto"/>
                      <w:tabs>
                        <w:tab w:val="right" w:pos="7766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ru-RU" w:eastAsia="ru-RU" w:bidi="ru-RU"/>
                      </w:rPr>
                      <w:t>30.03 2021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ru-RU" w:eastAsia="ru-RU" w:bidi="ru-RU"/>
                      </w:rPr>
                      <w:tab/>
                      <w:t>Оценка эффективности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3A" w:rsidRDefault="00752A3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3E02"/>
    <w:multiLevelType w:val="hybridMultilevel"/>
    <w:tmpl w:val="7CA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3A"/>
    <w:rsid w:val="00052373"/>
    <w:rsid w:val="000B21D6"/>
    <w:rsid w:val="000B7E3A"/>
    <w:rsid w:val="000E77CC"/>
    <w:rsid w:val="004F715F"/>
    <w:rsid w:val="0052046F"/>
    <w:rsid w:val="005A77EC"/>
    <w:rsid w:val="00652CD0"/>
    <w:rsid w:val="006E205C"/>
    <w:rsid w:val="007219DF"/>
    <w:rsid w:val="007221C5"/>
    <w:rsid w:val="00752A3A"/>
    <w:rsid w:val="00825E9E"/>
    <w:rsid w:val="008534B0"/>
    <w:rsid w:val="0092509B"/>
    <w:rsid w:val="00964F85"/>
    <w:rsid w:val="00A85F27"/>
    <w:rsid w:val="00A86C9C"/>
    <w:rsid w:val="00AA4CE3"/>
    <w:rsid w:val="00BC0691"/>
    <w:rsid w:val="00CA459E"/>
    <w:rsid w:val="00E15A15"/>
    <w:rsid w:val="00E43244"/>
    <w:rsid w:val="00E87EC6"/>
    <w:rsid w:val="00ED348E"/>
    <w:rsid w:val="00F07E0B"/>
    <w:rsid w:val="00F46DA7"/>
    <w:rsid w:val="00F5405E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1B626D-1CC8-431A-98F8-A2169E0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 w:line="26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52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D0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05237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6">
    <w:name w:val="header"/>
    <w:basedOn w:val="a"/>
    <w:link w:val="a7"/>
    <w:uiPriority w:val="99"/>
    <w:unhideWhenUsed/>
    <w:rsid w:val="000B7E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E3A"/>
    <w:rPr>
      <w:color w:val="000000"/>
    </w:rPr>
  </w:style>
  <w:style w:type="paragraph" w:styleId="a8">
    <w:name w:val="footer"/>
    <w:basedOn w:val="a"/>
    <w:link w:val="a9"/>
    <w:uiPriority w:val="99"/>
    <w:unhideWhenUsed/>
    <w:rsid w:val="000B7E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E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0B5E-5CC8-4E49-8D78-DB38B1FB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2021-03-31T10:40:00Z</cp:lastPrinted>
  <dcterms:created xsi:type="dcterms:W3CDTF">2021-03-30T12:26:00Z</dcterms:created>
  <dcterms:modified xsi:type="dcterms:W3CDTF">2021-04-01T05:12:00Z</dcterms:modified>
</cp:coreProperties>
</file>